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44.04.01 Педагогическое образование (высшее образование - магистратура), Направленность (профиль) программы «Школьная медиация в системе гражданско-правового образования», утв. приказом ректора ОмГА от 27.03.2023 № 51.</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Нормативно-правовое регулирование образовательной деятельности</w:t>
            </w:r>
          </w:p>
          <w:p>
            <w:pPr>
              <w:jc w:val="center"/>
              <w:spacing w:after="0" w:line="240" w:lineRule="auto"/>
              <w:rPr>
                <w:sz w:val="32"/>
                <w:szCs w:val="32"/>
              </w:rPr>
            </w:pPr>
            <w:r>
              <w:rPr>
                <w:rFonts w:ascii="Times New Roman" w:hAnsi="Times New Roman" w:cs="Times New Roman"/>
                <w:color w:val="#000000"/>
                <w:sz w:val="32"/>
                <w:szCs w:val="32"/>
              </w:rPr>
              <w:t> Б1.В.01.01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44.04.01 Педагогическое образование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«Школьная медиация в системе гражданско- правового образования»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88"/>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научно- исследовательский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1597.74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к.ю.н., доцент _________________ /Иванов В.И./</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24 марта 2023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44.04.01 Педагогическое образование направленность (профиль) программы: «Школьная медиация в системе гражданско-правового образования»;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«Нормативно- правовое регулирование образовательной деятельности»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44.04.01 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Б1.В.01.01 «Нормативно-правовое регулирование образовательной деятельности».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«Нормативно-правовое регулирование образовательной 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ситуационный анализ конкретного случая, применять медиативные технологии разрешения конфликта и достижения мира</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медиативные технологии и альтернативные способы разрешения конфликтов, кодекс профессиональной этики медиатора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уметь оценивать применимость медиации для конкретного случая и применять гуманитарные технологии урегулирования конфликта и поддержания мира</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владеть адекватными конкретной ситуации действиями медиатора; организовывать деятельность служб примирения в образовательных организациях</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критический анализ проблемных ситуаций на основе системного подхода, вырабатывать стратегию действий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проблемные ситуации в процессе анализа проблемы, этапы е? разрешения с уч?том вариативных контекстов</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уметь грамотно, логично, аргументировано формулирует собственные суждения и оценки, предлагает стратегию действий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владеть навыком критически анализировать  и выбирать информацию, необходимую для выработки стратегии действий по разрешению проблемной ситуации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различными вариантами решения проблемной ситуации на основе системного подхода, оценивает их преимущества и риски</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114.5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Б1.В.01.01 «Нормативно-правовое регулирование образовательной деятельности» относится к обязательной части, является дисциплиной Блока Б1. «Дисциплины (модули)». Модуль "Образовательное право" основной профессиональной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55.66"/>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программы высшего образования - магистратура по направлению подготовки 44.04.01 Педагогическое образование.</w:t>
            </w:r>
          </w:p>
        </w:tc>
      </w:tr>
      <w:tr>
        <w:trPr>
          <w:trHeight w:hRule="exact" w:val="138.91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4533.627"/>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Иностранный язык в профессиональной коммуникации</w:t>
            </w:r>
          </w:p>
          <w:p>
            <w:pPr>
              <w:jc w:val="center"/>
              <w:spacing w:after="0" w:line="240" w:lineRule="auto"/>
              <w:rPr>
                <w:sz w:val="22"/>
                <w:szCs w:val="22"/>
              </w:rPr>
            </w:pPr>
            <w:r>
              <w:rPr>
                <w:rFonts w:ascii="Times New Roman" w:hAnsi="Times New Roman" w:cs="Times New Roman"/>
                <w:color w:val="#000000"/>
                <w:sz w:val="22"/>
                <w:szCs w:val="22"/>
              </w:rPr>
              <w:t> Информационные технологии в профессиональной деятельности</w:t>
            </w:r>
          </w:p>
          <w:p>
            <w:pPr>
              <w:jc w:val="center"/>
              <w:spacing w:after="0" w:line="240" w:lineRule="auto"/>
              <w:rPr>
                <w:sz w:val="22"/>
                <w:szCs w:val="22"/>
              </w:rPr>
            </w:pPr>
            <w:r>
              <w:rPr>
                <w:rFonts w:ascii="Times New Roman" w:hAnsi="Times New Roman" w:cs="Times New Roman"/>
                <w:color w:val="#000000"/>
                <w:sz w:val="22"/>
                <w:szCs w:val="22"/>
              </w:rPr>
              <w:t> Модуль "Образовательное право"</w:t>
            </w:r>
          </w:p>
          <w:p>
            <w:pPr>
              <w:jc w:val="center"/>
              <w:spacing w:after="0" w:line="240" w:lineRule="auto"/>
              <w:rPr>
                <w:sz w:val="22"/>
                <w:szCs w:val="22"/>
              </w:rPr>
            </w:pPr>
            <w:r>
              <w:rPr>
                <w:rFonts w:ascii="Times New Roman" w:hAnsi="Times New Roman" w:cs="Times New Roman"/>
                <w:color w:val="#000000"/>
                <w:sz w:val="22"/>
                <w:szCs w:val="22"/>
              </w:rPr>
              <w:t> Модуль "Профессиональная коммуникация"</w:t>
            </w:r>
          </w:p>
          <w:p>
            <w:pPr>
              <w:jc w:val="center"/>
              <w:spacing w:after="0" w:line="240" w:lineRule="auto"/>
              <w:rPr>
                <w:sz w:val="22"/>
                <w:szCs w:val="22"/>
              </w:rPr>
            </w:pPr>
            <w:r>
              <w:rPr>
                <w:rFonts w:ascii="Times New Roman" w:hAnsi="Times New Roman" w:cs="Times New Roman"/>
                <w:color w:val="#000000"/>
                <w:sz w:val="22"/>
                <w:szCs w:val="22"/>
              </w:rPr>
              <w:t> Русский язык в профессиональной сфере</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Модуль "Конфликты в социально- педагогической деятельности"</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(научно- исследовательская работа)</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(научно- исследовательская работа)</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(научно- исследовательская работа)</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 - технологическая))</w:t>
            </w:r>
          </w:p>
          <w:p>
            <w:pPr>
              <w:jc w:val="center"/>
              <w:spacing w:after="0" w:line="240" w:lineRule="auto"/>
              <w:rPr>
                <w:sz w:val="22"/>
                <w:szCs w:val="22"/>
              </w:rPr>
            </w:pPr>
            <w:r>
              <w:rPr>
                <w:rFonts w:ascii="Times New Roman" w:hAnsi="Times New Roman" w:cs="Times New Roman"/>
                <w:color w:val="#000000"/>
                <w:sz w:val="22"/>
                <w:szCs w:val="22"/>
              </w:rPr>
              <w:t> Зарубежный опыт обучения медиации</w:t>
            </w:r>
          </w:p>
          <w:p>
            <w:pPr>
              <w:jc w:val="center"/>
              <w:spacing w:after="0" w:line="240" w:lineRule="auto"/>
              <w:rPr>
                <w:sz w:val="22"/>
                <w:szCs w:val="22"/>
              </w:rPr>
            </w:pPr>
            <w:r>
              <w:rPr>
                <w:rFonts w:ascii="Times New Roman" w:hAnsi="Times New Roman" w:cs="Times New Roman"/>
                <w:color w:val="#000000"/>
                <w:sz w:val="22"/>
                <w:szCs w:val="22"/>
              </w:rPr>
              <w:t> Методология и методика конфликтологических исследований</w:t>
            </w:r>
          </w:p>
          <w:p>
            <w:pPr>
              <w:jc w:val="center"/>
              <w:spacing w:after="0" w:line="240" w:lineRule="auto"/>
              <w:rPr>
                <w:sz w:val="22"/>
                <w:szCs w:val="22"/>
              </w:rPr>
            </w:pPr>
            <w:r>
              <w:rPr>
                <w:rFonts w:ascii="Times New Roman" w:hAnsi="Times New Roman" w:cs="Times New Roman"/>
                <w:color w:val="#000000"/>
                <w:sz w:val="22"/>
                <w:szCs w:val="22"/>
              </w:rPr>
              <w:t> Мониторинг конфликтных ситуаций</w:t>
            </w:r>
          </w:p>
          <w:p>
            <w:pPr>
              <w:jc w:val="center"/>
              <w:spacing w:after="0" w:line="240" w:lineRule="auto"/>
              <w:rPr>
                <w:sz w:val="22"/>
                <w:szCs w:val="22"/>
              </w:rPr>
            </w:pPr>
            <w:r>
              <w:rPr>
                <w:rFonts w:ascii="Times New Roman" w:hAnsi="Times New Roman" w:cs="Times New Roman"/>
                <w:color w:val="#000000"/>
                <w:sz w:val="22"/>
                <w:szCs w:val="22"/>
              </w:rPr>
              <w:t> Национальная и религиозная толерантность</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(научно- исследовательская работа)</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(педагогическая)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 ПК-1</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2"/>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115</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Органы управления образованием 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Органы управления образованием 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Органы управления образованием 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Органы управления образованием 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Правовое регулирование имущественных отношений в системе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Правовое регулирование имущественных отношений в системе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Правовое регулирование управленческих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Правовое регулирование управленческих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Правовое регулирование управленческих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Сдача экзамена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10080.6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01.46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Органы управления образованием в Российской Федерации.</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Разграничение полномочий между Российской Федерации, субъектами Российской Федерации и муниципальными образованиями в сфере образования.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Правовое регулирование имущественных отношений в системе образования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Отношение собственности в системе образования. Права образовательного учреждения на пользование финансовыми и материальными средствами. Право распоряжения образовательными учреждениями доходами от самостоятельной экономической деятельности, приносящей прибыль.</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Правовое регулирование управленческих отношений</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Принципы управления образовательным учреждением. Единоначалие. Самоуправление.</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Договор о предоставлении платного образования, его виды.</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Правовое регулирование управленческих отношений</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Органы самоуправления образовательным учреждением. Общее собрание (конференция) коллектива образовательного учреждения. Совет образовательного учреждения. Попечительский совет. Ученый совет. Педагогический совет.</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Органы управления образованием в Российской Федерации.</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Разграничение полномочий между Российской Федерации, субъектами Российской Федерации и муниципальными образованиями в сфере образования. Компетенция органов государственной власти Российской Федерации, субъектов Российской Федерации и органов местного самоуправления в сфере образования.</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Предпринимательская и иная приносящая доход деятельность образовательного учреждения. Платные дополнительные образовательные услуги государственного и муниципального образовательных учреждений. Платная образовательная деятельность негосударственного образовательного учреждения.</w:t>
            </w:r>
          </w:p>
        </w:tc>
      </w:tr>
      <w:tr>
        <w:trPr>
          <w:trHeight w:hRule="exact" w:val="8.085045"/>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Правовое регулирование управленческих отношений</w:t>
            </w:r>
          </w:p>
        </w:tc>
      </w:tr>
      <w:tr>
        <w:trPr>
          <w:trHeight w:hRule="exact" w:val="21.31495"/>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управления высшим учебным заведением. Автономия высших учебных заведений и академические свободы.</w:t>
            </w: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«Нормативно- правовое регулирование образовательной деятельности» / Иванов В.И..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61"/>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Политическая</w:t>
            </w:r>
            <w:r>
              <w:rPr/>
              <w:t xml:space="preserve"> </w:t>
            </w:r>
            <w:r>
              <w:rPr>
                <w:rFonts w:ascii="Times New Roman" w:hAnsi="Times New Roman" w:cs="Times New Roman"/>
                <w:color w:val="#000000"/>
                <w:sz w:val="24"/>
                <w:szCs w:val="24"/>
              </w:rPr>
              <w:t>медиация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Нигматуллина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Терновая</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978-5-534-05665-5.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https://urait.ru/bcode/438923</w:t>
            </w:r>
            <w:r>
              <w:rPr/>
              <w:t xml:space="preserve"> </w:t>
            </w:r>
          </w:p>
        </w:tc>
      </w:tr>
      <w:tr>
        <w:trPr>
          <w:trHeight w:hRule="exact" w:val="555.6598"/>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Медиация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Мельниченко</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Дашков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978-5-394-02344-6.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http://www.iprbookshop.ru/75215.html</w:t>
            </w:r>
            <w:r>
              <w:rPr/>
              <w:t xml:space="preserve"> </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066.7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382.86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432.4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767.7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457.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2023-2024_ФГОС3++2023_Маг-ЗФО-ПО(Шк мед)(23)_plx_Нормативно-правовое регулирование образовательной деятельности</dc:title>
  <dc:creator>FastReport.NET</dc:creator>
</cp:coreProperties>
</file>